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C5" w:rsidRDefault="00C062C5" w:rsidP="00C062C5">
      <w:pPr>
        <w:pStyle w:val="a5"/>
        <w:shd w:val="clear" w:color="auto" w:fill="FFFFFF"/>
        <w:spacing w:before="0" w:beforeAutospacing="0"/>
        <w:rPr>
          <w:rFonts w:ascii="Montserrat" w:hAnsi="Montserrat"/>
          <w:color w:val="273350"/>
        </w:rPr>
      </w:pPr>
      <w:proofErr w:type="gramStart"/>
      <w:r>
        <w:rPr>
          <w:rStyle w:val="a6"/>
          <w:rFonts w:ascii="Georgia" w:hAnsi="Georgia" w:cs="Calibri"/>
          <w:color w:val="000000"/>
          <w:sz w:val="36"/>
          <w:szCs w:val="36"/>
          <w:shd w:val="clear" w:color="auto" w:fill="FFFFFF"/>
        </w:rPr>
        <w:t>Нелегально занятых выведут из «тени»: правительство утвердило план борьбы с теневой занятостью</w:t>
      </w:r>
      <w:proofErr w:type="gramEnd"/>
    </w:p>
    <w:p w:rsidR="00C062C5" w:rsidRDefault="00C062C5" w:rsidP="00C062C5">
      <w:pPr>
        <w:pStyle w:val="a5"/>
        <w:shd w:val="clear" w:color="auto" w:fill="FFFFFF"/>
        <w:spacing w:before="0" w:beforeAutospacing="0"/>
        <w:rPr>
          <w:rFonts w:ascii="Montserrat" w:hAnsi="Montserrat"/>
          <w:color w:val="273350"/>
        </w:rPr>
      </w:pPr>
      <w:r>
        <w:rPr>
          <w:rFonts w:ascii="Georgia" w:hAnsi="Georgia" w:cs="Calibri"/>
          <w:color w:val="555E69"/>
          <w:sz w:val="18"/>
          <w:szCs w:val="18"/>
          <w:shd w:val="clear" w:color="auto" w:fill="FFFFFF"/>
        </w:rPr>
        <w:t>Отрасль права: </w:t>
      </w:r>
      <w:hyperlink r:id="rId5" w:history="1">
        <w:r>
          <w:rPr>
            <w:rStyle w:val="a7"/>
            <w:rFonts w:ascii="Georgia" w:hAnsi="Georgia" w:cs="Calibri"/>
            <w:color w:val="3494D4"/>
            <w:sz w:val="18"/>
            <w:szCs w:val="18"/>
            <w:shd w:val="clear" w:color="auto" w:fill="FFFFFF"/>
          </w:rPr>
          <w:t xml:space="preserve">Трудовое право и </w:t>
        </w:r>
        <w:proofErr w:type="gramStart"/>
        <w:r>
          <w:rPr>
            <w:rStyle w:val="a7"/>
            <w:rFonts w:ascii="Georgia" w:hAnsi="Georgia" w:cs="Calibri"/>
            <w:color w:val="3494D4"/>
            <w:sz w:val="18"/>
            <w:szCs w:val="18"/>
            <w:shd w:val="clear" w:color="auto" w:fill="FFFFFF"/>
          </w:rPr>
          <w:t>право социального обеспечения</w:t>
        </w:r>
        <w:proofErr w:type="gramEnd"/>
      </w:hyperlink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rStyle w:val="a6"/>
          <w:color w:val="000000"/>
          <w:sz w:val="28"/>
          <w:szCs w:val="28"/>
          <w:shd w:val="clear" w:color="auto" w:fill="FFFFFF"/>
        </w:rPr>
        <w:t>Правительство одобрило комплекс мер, направленных на борьбу с нелегальной трудовой деятельностью.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Правительство Российской Федерации утвердило план мероприятий по противодействию нелегальной занятости на 2025–2027 годы. Документ содержит перечень мер, реализацию которых должны обеспечить федеральные органы исполнительной власти.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выполнением указанного плана будет осуществлять Минтруд.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 </w:t>
      </w:r>
      <w:hyperlink r:id="rId6" w:tgtFrame="_blank" w:history="1">
        <w:r>
          <w:rPr>
            <w:rStyle w:val="a7"/>
            <w:color w:val="3494D4"/>
            <w:sz w:val="28"/>
            <w:szCs w:val="28"/>
            <w:shd w:val="clear" w:color="auto" w:fill="FFFFFF"/>
          </w:rPr>
          <w:t>Федеральным законом</w:t>
        </w:r>
      </w:hyperlink>
      <w:r>
        <w:rPr>
          <w:color w:val="000000"/>
          <w:sz w:val="28"/>
          <w:szCs w:val="28"/>
          <w:shd w:val="clear" w:color="auto" w:fill="FFFFFF"/>
        </w:rPr>
        <w:t> от 12.12.2023 № 565-ФЗ «О занятости населения в Российской Федерации» под нелегальной занятостью понимается осуществление трудовой деятельности в нарушение установленного трудовым законодательством порядка оформления трудовых отношений. К примеру, если работник выполняет трудовые обязанности без заключения трудового договора или работодатель оформляет гражданско-правовые договоры, которые фактически регулируют трудовые отношения.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Нелегальная занятость лишает работников социальных гарантий, а периоды работы без оформления не засчитываются в пенсионный стаж. Используя схемы теневой занятости, работодатели уклоняются от налогов и страховых взносов, что сокращает поступления в бюджет.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rStyle w:val="a6"/>
          <w:color w:val="000000"/>
          <w:sz w:val="28"/>
          <w:szCs w:val="28"/>
          <w:shd w:val="clear" w:color="auto" w:fill="FFFFFF"/>
        </w:rPr>
        <w:t>Теневая занятость и мероприятия по противодействию нелегальной занятости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План мероприятий по противодействию нелегальной занятости включает в себя 18 пунктов. В частности, в нем предусмотрены следующие мероприятия: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проведение мероприятий по профилактике, выявлению и пресечению фактов трудовой деятельности граждан с нарушением установленного порядка оформления трудовых отношений;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ведение реестра работодателей, у которых выявлены факты нелегальной занятости;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подготовка методических рекомендаций по вопросам легализации трудовых отношений;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наделение межведомственных комиссий по противодействию нелегальной занятости полномочиями по составлению протоколов об административном правонарушении за неявку работодателей на заседания этих комиссий;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мониторинг деятельности межведомственных комиссий по противодействию нелегальной занятости;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повышение эффективности работы межведомственных комиссий по противодействию нелегальной занятости;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анализ практики недопущения подмены трудовых отношений гражданско-правовыми отношениями;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мониторинг осуществления федерального государственного контроля (надзора) за соблюдением трудового законодательства;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анализ численности неработающих граждан трудоспособного возраста;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проработка предложений, направленных на вовлечение 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трудовую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деятельность неработающих граждан трудоспособного возраста;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мониторинг выявления теневой занятости;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оценка потенциальной численности нелегально занятых граждан по субъектам;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проведение информационно-разъяснительной работы с работниками и работодателями по вопросам снижения теневой занятости и легализации трудовых отношений, а также ответственности за нарушение трудового законодательства;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анализ лучших практик деятельности межведомственных комиссий по противодействию нелегальной занятости и распространение их опыта работы в субъектах;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проработка вопроса наделения межведомственных комиссий по противодействию нелегальной занятости полномочиями по вынесению решения о включении в реестр работодателей, у которых выявлены факты такой занятости.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rStyle w:val="a6"/>
          <w:color w:val="000000"/>
          <w:sz w:val="28"/>
          <w:szCs w:val="28"/>
          <w:shd w:val="clear" w:color="auto" w:fill="FFFFFF"/>
        </w:rPr>
        <w:t>Причины нарушения порядка оформления трудовых отношений с работниками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План не предусматривает стимулирующих мер для работодателей, ограничиваясь созданием реестра нарушителей. Между тем заключение </w:t>
      </w:r>
      <w:hyperlink r:id="rId7" w:history="1">
        <w:r>
          <w:rPr>
            <w:rStyle w:val="a7"/>
            <w:color w:val="3494D4"/>
            <w:sz w:val="28"/>
            <w:szCs w:val="28"/>
            <w:shd w:val="clear" w:color="auto" w:fill="FFFFFF"/>
          </w:rPr>
          <w:t>гражданско-правовых договоров</w:t>
        </w:r>
      </w:hyperlink>
      <w:r>
        <w:rPr>
          <w:color w:val="000000"/>
          <w:sz w:val="28"/>
          <w:szCs w:val="28"/>
          <w:shd w:val="clear" w:color="auto" w:fill="FFFFFF"/>
        </w:rPr>
        <w:t> или оформление работников в качестве </w:t>
      </w:r>
      <w:proofErr w:type="spellStart"/>
      <w:r>
        <w:rPr>
          <w:color w:val="000000"/>
          <w:sz w:val="28"/>
          <w:szCs w:val="28"/>
          <w:shd w:val="clear" w:color="auto" w:fill="FFFFFF"/>
        </w:rPr>
        <w:fldChar w:fldCharType="begin"/>
      </w:r>
      <w:r>
        <w:rPr>
          <w:color w:val="000000"/>
          <w:sz w:val="28"/>
          <w:szCs w:val="28"/>
          <w:shd w:val="clear" w:color="auto" w:fill="FFFFFF"/>
        </w:rPr>
        <w:instrText xml:space="preserve"> HYPERLINK "https://kirpikov.ru/novye-razjasnenija-nalogovoj-sluzhby-po-dogovoram-s-samozanjatymi/" </w:instrText>
      </w:r>
      <w:r>
        <w:rPr>
          <w:color w:val="000000"/>
          <w:sz w:val="28"/>
          <w:szCs w:val="28"/>
          <w:shd w:val="clear" w:color="auto" w:fill="FFFFFF"/>
        </w:rPr>
        <w:fldChar w:fldCharType="separate"/>
      </w:r>
      <w:r>
        <w:rPr>
          <w:rStyle w:val="a7"/>
          <w:color w:val="3494D4"/>
          <w:sz w:val="28"/>
          <w:szCs w:val="28"/>
          <w:shd w:val="clear" w:color="auto" w:fill="FFFFFF"/>
        </w:rPr>
        <w:t>самозанятых</w:t>
      </w:r>
      <w:proofErr w:type="spellEnd"/>
      <w:r>
        <w:rPr>
          <w:color w:val="000000"/>
          <w:sz w:val="28"/>
          <w:szCs w:val="28"/>
          <w:shd w:val="clear" w:color="auto" w:fill="FFFFFF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> — это способ снизить чрезмерное налоговое бремя.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 xml:space="preserve">Другая, еще более сложная проблема — когда никаких договоров не оформляется вообще. Такие случаи еще труднее зафиксировать. По данным Минтруда и Росстата, масштабы теневой занятости варьируются от 6,5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млн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до 16 млн человек, что составляет от 8 % до 20 % трудоспособного населения. При этом Минтруд учитывает только доходы без официального подтверждения, а Росстат — более широкий спектр неформальной занятости, включая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самозанятых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Проблема нелегальной занятости касается не только работодателей. Граждане зачастую сами выбирают «серые» схемы, чтобы скрыть доходы и избежать уплаты алиментов или погашения кредитной задолженности. В то же время неформальная занятость для многих становится вынужденной мерой, если они не могут найти официальную работу.</w:t>
      </w:r>
    </w:p>
    <w:p w:rsidR="00C062C5" w:rsidRDefault="00C062C5" w:rsidP="00C062C5">
      <w:pPr>
        <w:pStyle w:val="a5"/>
        <w:shd w:val="clear" w:color="auto" w:fill="FFFFFF"/>
        <w:spacing w:before="0" w:before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В перспективе возможно ужесточение мер не только для работодателей, но и для работников, сознательно избегающих официального трудоустройства. Если на рынке труда исчезнет спрос на неофициальную занятость, работодателям придется выйти из «тени».</w:t>
      </w:r>
    </w:p>
    <w:p w:rsidR="00110221" w:rsidRDefault="00110221">
      <w:bookmarkStart w:id="0" w:name="_GoBack"/>
      <w:bookmarkEnd w:id="0"/>
    </w:p>
    <w:sectPr w:rsidR="0011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C5"/>
    <w:rsid w:val="00110221"/>
    <w:rsid w:val="00C062C5"/>
    <w:rsid w:val="00C213CB"/>
    <w:rsid w:val="00E2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0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62C5"/>
    <w:rPr>
      <w:b/>
      <w:bCs/>
    </w:rPr>
  </w:style>
  <w:style w:type="character" w:styleId="a7">
    <w:name w:val="Hyperlink"/>
    <w:basedOn w:val="a0"/>
    <w:uiPriority w:val="99"/>
    <w:semiHidden/>
    <w:unhideWhenUsed/>
    <w:rsid w:val="00C062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0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62C5"/>
    <w:rPr>
      <w:b/>
      <w:bCs/>
    </w:rPr>
  </w:style>
  <w:style w:type="character" w:styleId="a7">
    <w:name w:val="Hyperlink"/>
    <w:basedOn w:val="a0"/>
    <w:uiPriority w:val="99"/>
    <w:semiHidden/>
    <w:unhideWhenUsed/>
    <w:rsid w:val="00C06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rpikov.ru/faq/perekvalifikacija-grazhdansko-pravovyh-dogovorov-v-trudovye-dogovor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408175315/" TargetMode="External"/><Relationship Id="rId5" Type="http://schemas.openxmlformats.org/officeDocument/2006/relationships/hyperlink" Target="https://zakon.ru/trudovoe_pravo_i_pravo_socialnogo_obespeche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2025-06-19T07:05:00Z</dcterms:created>
  <dcterms:modified xsi:type="dcterms:W3CDTF">2025-06-19T07:05:00Z</dcterms:modified>
</cp:coreProperties>
</file>